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1" w:tblpY="-3206"/>
        <w:tblW w:w="12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087"/>
        <w:gridCol w:w="3087"/>
        <w:gridCol w:w="3087"/>
      </w:tblGrid>
      <w:tr w:rsidR="00DC762B" w:rsidTr="00D0116A">
        <w:tc>
          <w:tcPr>
            <w:tcW w:w="3087" w:type="dxa"/>
            <w:shd w:val="clear" w:color="auto" w:fill="1287C3"/>
          </w:tcPr>
          <w:p w:rsidR="00DC762B" w:rsidRDefault="00DC762B" w:rsidP="00D0116A">
            <w:pPr>
              <w:pStyle w:val="BodyText"/>
              <w:tabs>
                <w:tab w:val="left" w:pos="3669"/>
              </w:tabs>
              <w:spacing w:before="0"/>
              <w:ind w:left="0" w:firstLine="0"/>
              <w:jc w:val="right"/>
              <w:rPr>
                <w:rFonts w:ascii="Times New Roman"/>
                <w:color w:val="BD3817"/>
                <w:sz w:val="20"/>
              </w:rPr>
            </w:pPr>
          </w:p>
        </w:tc>
        <w:tc>
          <w:tcPr>
            <w:tcW w:w="3087" w:type="dxa"/>
            <w:shd w:val="clear" w:color="auto" w:fill="BD3817"/>
          </w:tcPr>
          <w:p w:rsidR="00DC762B" w:rsidRDefault="00DC762B" w:rsidP="00D0116A">
            <w:pPr>
              <w:pStyle w:val="BodyText"/>
              <w:tabs>
                <w:tab w:val="left" w:pos="3669"/>
              </w:tabs>
              <w:spacing w:before="0"/>
              <w:ind w:left="0" w:firstLine="0"/>
              <w:rPr>
                <w:rFonts w:ascii="Times New Roman"/>
                <w:color w:val="BD3817"/>
                <w:sz w:val="20"/>
              </w:rPr>
            </w:pPr>
          </w:p>
        </w:tc>
        <w:tc>
          <w:tcPr>
            <w:tcW w:w="3087" w:type="dxa"/>
            <w:shd w:val="clear" w:color="auto" w:fill="FBAA12"/>
          </w:tcPr>
          <w:p w:rsidR="00DC762B" w:rsidRDefault="00DC762B" w:rsidP="00D0116A">
            <w:pPr>
              <w:pStyle w:val="BodyText"/>
              <w:tabs>
                <w:tab w:val="left" w:pos="3669"/>
              </w:tabs>
              <w:spacing w:before="0"/>
              <w:ind w:left="0" w:firstLine="0"/>
              <w:rPr>
                <w:rFonts w:ascii="Times New Roman"/>
                <w:color w:val="BD3817"/>
                <w:sz w:val="20"/>
              </w:rPr>
            </w:pPr>
          </w:p>
        </w:tc>
        <w:tc>
          <w:tcPr>
            <w:tcW w:w="3087" w:type="dxa"/>
            <w:shd w:val="clear" w:color="auto" w:fill="007581"/>
          </w:tcPr>
          <w:p w:rsidR="00DC762B" w:rsidRDefault="00DC762B" w:rsidP="00D0116A">
            <w:pPr>
              <w:pStyle w:val="BodyText"/>
              <w:tabs>
                <w:tab w:val="left" w:pos="3669"/>
              </w:tabs>
              <w:spacing w:before="0"/>
              <w:ind w:left="0" w:firstLine="0"/>
              <w:rPr>
                <w:rFonts w:ascii="Times New Roman"/>
                <w:color w:val="BD3817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5615"/>
        <w:tblW w:w="12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087"/>
        <w:gridCol w:w="3087"/>
        <w:gridCol w:w="3087"/>
      </w:tblGrid>
      <w:tr w:rsidR="00DC762B" w:rsidTr="00D0116A">
        <w:tc>
          <w:tcPr>
            <w:tcW w:w="3087" w:type="dxa"/>
            <w:shd w:val="clear" w:color="auto" w:fill="1287C3"/>
          </w:tcPr>
          <w:p w:rsidR="00DC762B" w:rsidRDefault="00DC762B" w:rsidP="00D0116A">
            <w:pPr>
              <w:pStyle w:val="BodyText"/>
              <w:tabs>
                <w:tab w:val="left" w:pos="3669"/>
              </w:tabs>
              <w:spacing w:before="0"/>
              <w:ind w:left="0" w:firstLine="0"/>
              <w:rPr>
                <w:rFonts w:ascii="Times New Roman"/>
                <w:color w:val="BD3817"/>
                <w:sz w:val="20"/>
              </w:rPr>
            </w:pPr>
          </w:p>
        </w:tc>
        <w:tc>
          <w:tcPr>
            <w:tcW w:w="3087" w:type="dxa"/>
            <w:shd w:val="clear" w:color="auto" w:fill="BD3817"/>
          </w:tcPr>
          <w:p w:rsidR="00DC762B" w:rsidRDefault="00DC762B" w:rsidP="00D0116A">
            <w:pPr>
              <w:pStyle w:val="BodyText"/>
              <w:tabs>
                <w:tab w:val="left" w:pos="3669"/>
              </w:tabs>
              <w:spacing w:before="0"/>
              <w:ind w:left="0" w:firstLine="0"/>
              <w:rPr>
                <w:rFonts w:ascii="Times New Roman"/>
                <w:color w:val="BD3817"/>
                <w:sz w:val="20"/>
              </w:rPr>
            </w:pPr>
          </w:p>
        </w:tc>
        <w:tc>
          <w:tcPr>
            <w:tcW w:w="3087" w:type="dxa"/>
            <w:shd w:val="clear" w:color="auto" w:fill="FBAA12"/>
          </w:tcPr>
          <w:p w:rsidR="00DC762B" w:rsidRDefault="00DC762B" w:rsidP="00D0116A">
            <w:pPr>
              <w:pStyle w:val="BodyText"/>
              <w:tabs>
                <w:tab w:val="left" w:pos="3669"/>
              </w:tabs>
              <w:spacing w:before="0"/>
              <w:ind w:left="0" w:firstLine="0"/>
              <w:rPr>
                <w:rFonts w:ascii="Times New Roman"/>
                <w:color w:val="BD3817"/>
                <w:sz w:val="20"/>
              </w:rPr>
            </w:pPr>
          </w:p>
        </w:tc>
        <w:tc>
          <w:tcPr>
            <w:tcW w:w="3087" w:type="dxa"/>
            <w:shd w:val="clear" w:color="auto" w:fill="007581"/>
          </w:tcPr>
          <w:p w:rsidR="00DC762B" w:rsidRDefault="00DC762B" w:rsidP="00D0116A">
            <w:pPr>
              <w:pStyle w:val="BodyText"/>
              <w:tabs>
                <w:tab w:val="left" w:pos="3669"/>
              </w:tabs>
              <w:spacing w:before="0"/>
              <w:ind w:left="0" w:firstLine="0"/>
              <w:rPr>
                <w:rFonts w:ascii="Times New Roman"/>
                <w:color w:val="BD3817"/>
                <w:sz w:val="20"/>
              </w:rPr>
            </w:pPr>
          </w:p>
        </w:tc>
      </w:tr>
    </w:tbl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DC762B" w:rsidTr="00295909">
        <w:tc>
          <w:tcPr>
            <w:tcW w:w="10890" w:type="dxa"/>
          </w:tcPr>
          <w:p w:rsidR="00224ACC" w:rsidRDefault="00DC762B" w:rsidP="00DC762B">
            <w:pPr>
              <w:pStyle w:val="Heading1"/>
              <w:spacing w:before="0"/>
              <w:ind w:left="0"/>
              <w:jc w:val="right"/>
              <w:outlineLvl w:val="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55832A0" wp14:editId="139AFCD8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27940</wp:posOffset>
                  </wp:positionV>
                  <wp:extent cx="2776855" cy="564515"/>
                  <wp:effectExtent l="0" t="0" r="4445" b="6985"/>
                  <wp:wrapTight wrapText="bothSides">
                    <wp:wrapPolygon edited="0">
                      <wp:start x="0" y="0"/>
                      <wp:lineTo x="0" y="21138"/>
                      <wp:lineTo x="21486" y="21138"/>
                      <wp:lineTo x="2148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55" cy="56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4ACC">
              <w:rPr>
                <w:sz w:val="36"/>
                <w:szCs w:val="36"/>
              </w:rPr>
              <w:t xml:space="preserve">Massachusetts </w:t>
            </w:r>
            <w:r w:rsidRPr="00A111CC">
              <w:rPr>
                <w:sz w:val="36"/>
                <w:szCs w:val="36"/>
              </w:rPr>
              <w:t>CARE Act</w:t>
            </w:r>
          </w:p>
          <w:p w:rsidR="00DC762B" w:rsidRDefault="00DC762B" w:rsidP="00DC762B">
            <w:pPr>
              <w:pStyle w:val="Heading1"/>
              <w:spacing w:before="0"/>
              <w:ind w:left="0"/>
              <w:jc w:val="right"/>
              <w:outlineLvl w:val="0"/>
              <w:rPr>
                <w:sz w:val="36"/>
                <w:szCs w:val="36"/>
              </w:rPr>
            </w:pPr>
            <w:r w:rsidRPr="00A111CC">
              <w:rPr>
                <w:sz w:val="36"/>
                <w:szCs w:val="36"/>
              </w:rPr>
              <w:t>Fact Sheet</w:t>
            </w:r>
          </w:p>
          <w:p w:rsidR="00DC762B" w:rsidRDefault="00DC762B"/>
          <w:p w:rsidR="00DC762B" w:rsidRPr="00DC762B" w:rsidRDefault="00DC762B">
            <w:pPr>
              <w:rPr>
                <w:sz w:val="10"/>
                <w:szCs w:val="10"/>
              </w:rPr>
            </w:pPr>
          </w:p>
        </w:tc>
      </w:tr>
      <w:tr w:rsidR="00DC762B" w:rsidTr="00295909">
        <w:trPr>
          <w:trHeight w:val="4130"/>
        </w:trPr>
        <w:tc>
          <w:tcPr>
            <w:tcW w:w="10890" w:type="dxa"/>
          </w:tcPr>
          <w:p w:rsidR="00DC762B" w:rsidRPr="00A111CC" w:rsidRDefault="00DC762B" w:rsidP="00295909">
            <w:pPr>
              <w:pStyle w:val="Heading1"/>
              <w:spacing w:before="0"/>
              <w:ind w:left="0"/>
              <w:outlineLvl w:val="0"/>
            </w:pPr>
            <w:r w:rsidRPr="00A111CC">
              <w:t>What is the CARE ACT?</w:t>
            </w:r>
          </w:p>
          <w:p w:rsidR="00DC762B" w:rsidRPr="00DC762B" w:rsidRDefault="00DC762B" w:rsidP="00DC762B">
            <w:pPr>
              <w:rPr>
                <w:sz w:val="10"/>
                <w:szCs w:val="10"/>
              </w:rPr>
            </w:pPr>
          </w:p>
          <w:p w:rsidR="00DC762B" w:rsidRPr="00A111CC" w:rsidRDefault="00DC762B" w:rsidP="00DC762B">
            <w:pPr>
              <w:rPr>
                <w:sz w:val="24"/>
                <w:szCs w:val="24"/>
              </w:rPr>
            </w:pPr>
            <w:r w:rsidRPr="00A111CC">
              <w:rPr>
                <w:sz w:val="24"/>
                <w:szCs w:val="24"/>
              </w:rPr>
              <w:t xml:space="preserve">The CARE Act stands for Caregiver Advise, Record, Enable (CARE) Act. This </w:t>
            </w:r>
            <w:r w:rsidR="006C67DC">
              <w:rPr>
                <w:sz w:val="24"/>
                <w:szCs w:val="24"/>
              </w:rPr>
              <w:t>new Massachusetts law allows</w:t>
            </w:r>
            <w:r w:rsidRPr="00A111CC">
              <w:rPr>
                <w:sz w:val="24"/>
                <w:szCs w:val="24"/>
              </w:rPr>
              <w:t xml:space="preserve"> a patient </w:t>
            </w:r>
            <w:r w:rsidR="00295909">
              <w:rPr>
                <w:sz w:val="24"/>
                <w:szCs w:val="24"/>
              </w:rPr>
              <w:t xml:space="preserve">over the age of 18 who has been admitted </w:t>
            </w:r>
            <w:r w:rsidR="006C67DC">
              <w:rPr>
                <w:sz w:val="24"/>
                <w:szCs w:val="24"/>
              </w:rPr>
              <w:t xml:space="preserve">as an </w:t>
            </w:r>
            <w:r w:rsidR="00295909">
              <w:rPr>
                <w:sz w:val="24"/>
                <w:szCs w:val="24"/>
              </w:rPr>
              <w:t xml:space="preserve">inpatient at an acute hospital </w:t>
            </w:r>
            <w:r w:rsidR="006C67DC">
              <w:rPr>
                <w:sz w:val="24"/>
                <w:szCs w:val="24"/>
              </w:rPr>
              <w:t xml:space="preserve">to </w:t>
            </w:r>
            <w:r w:rsidRPr="00A111CC">
              <w:rPr>
                <w:sz w:val="24"/>
                <w:szCs w:val="24"/>
              </w:rPr>
              <w:t xml:space="preserve">give permission for a hospital to provide medical information to </w:t>
            </w:r>
            <w:r w:rsidR="00224ACC">
              <w:rPr>
                <w:sz w:val="24"/>
                <w:szCs w:val="24"/>
              </w:rPr>
              <w:t xml:space="preserve">a designated </w:t>
            </w:r>
            <w:r w:rsidRPr="00A111CC">
              <w:rPr>
                <w:sz w:val="24"/>
                <w:szCs w:val="24"/>
              </w:rPr>
              <w:t>caregiver. There ar</w:t>
            </w:r>
            <w:r>
              <w:rPr>
                <w:sz w:val="24"/>
                <w:szCs w:val="24"/>
              </w:rPr>
              <w:t xml:space="preserve">e three main parts to the </w:t>
            </w:r>
            <w:r w:rsidR="006C67DC">
              <w:rPr>
                <w:sz w:val="24"/>
                <w:szCs w:val="24"/>
              </w:rPr>
              <w:t>law</w:t>
            </w:r>
            <w:r>
              <w:rPr>
                <w:sz w:val="24"/>
                <w:szCs w:val="24"/>
              </w:rPr>
              <w:t>.</w:t>
            </w:r>
          </w:p>
          <w:p w:rsidR="00DC762B" w:rsidRDefault="00DC762B"/>
          <w:p w:rsidR="00DC762B" w:rsidRDefault="00DC762B"/>
          <w:p w:rsidR="00DC762B" w:rsidRDefault="00DC762B"/>
          <w:p w:rsidR="00DC762B" w:rsidRDefault="00DC762B"/>
          <w:p w:rsidR="00DC762B" w:rsidRDefault="00DC762B"/>
          <w:p w:rsidR="00DC762B" w:rsidRDefault="00DC762B"/>
          <w:p w:rsidR="00DC762B" w:rsidRDefault="00295909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6EF7374" wp14:editId="0B2D197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-844550</wp:posOffset>
                  </wp:positionV>
                  <wp:extent cx="6591300" cy="1693545"/>
                  <wp:effectExtent l="0" t="57150" r="0" b="116205"/>
                  <wp:wrapTight wrapText="bothSides">
                    <wp:wrapPolygon edited="0">
                      <wp:start x="4620" y="-729"/>
                      <wp:lineTo x="3434" y="-243"/>
                      <wp:lineTo x="3059" y="729"/>
                      <wp:lineTo x="3059" y="6074"/>
                      <wp:lineTo x="3621" y="7532"/>
                      <wp:lineTo x="3059" y="8504"/>
                      <wp:lineTo x="3059" y="11420"/>
                      <wp:lineTo x="3558" y="15307"/>
                      <wp:lineTo x="3309" y="15307"/>
                      <wp:lineTo x="3059" y="17008"/>
                      <wp:lineTo x="3059" y="19438"/>
                      <wp:lineTo x="3746" y="22353"/>
                      <wp:lineTo x="3808" y="22839"/>
                      <wp:lineTo x="18479" y="22839"/>
                      <wp:lineTo x="18603" y="19195"/>
                      <wp:lineTo x="18603" y="2916"/>
                      <wp:lineTo x="18479" y="-729"/>
                      <wp:lineTo x="4620" y="-729"/>
                    </wp:wrapPolygon>
                  </wp:wrapTight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762B" w:rsidTr="00295909">
        <w:tc>
          <w:tcPr>
            <w:tcW w:w="10890" w:type="dxa"/>
          </w:tcPr>
          <w:p w:rsidR="00295909" w:rsidRPr="00224ACC" w:rsidRDefault="00295909" w:rsidP="00DC762B">
            <w:pPr>
              <w:pStyle w:val="Heading1"/>
              <w:spacing w:before="0"/>
              <w:ind w:left="0"/>
              <w:outlineLvl w:val="0"/>
              <w:rPr>
                <w:sz w:val="28"/>
                <w:szCs w:val="28"/>
              </w:rPr>
            </w:pPr>
          </w:p>
          <w:p w:rsidR="00DC762B" w:rsidRDefault="00DC762B" w:rsidP="00DC762B">
            <w:pPr>
              <w:pStyle w:val="Heading1"/>
              <w:spacing w:before="0"/>
              <w:ind w:left="0"/>
              <w:outlineLvl w:val="0"/>
            </w:pPr>
            <w:r>
              <w:t xml:space="preserve">Why is the CARE ACT important? </w:t>
            </w:r>
          </w:p>
          <w:p w:rsidR="00DC762B" w:rsidRPr="00DC762B" w:rsidRDefault="00DC762B" w:rsidP="00DC762B">
            <w:pPr>
              <w:pStyle w:val="Heading1"/>
              <w:spacing w:before="0"/>
              <w:ind w:left="0"/>
              <w:outlineLvl w:val="0"/>
              <w:rPr>
                <w:sz w:val="10"/>
                <w:szCs w:val="10"/>
              </w:rPr>
            </w:pPr>
          </w:p>
          <w:p w:rsidR="00DC762B" w:rsidRPr="00295909" w:rsidRDefault="00DC762B" w:rsidP="00224ACC">
            <w:pPr>
              <w:rPr>
                <w:sz w:val="10"/>
                <w:szCs w:val="10"/>
              </w:rPr>
            </w:pPr>
            <w:r w:rsidRPr="00DC762B">
              <w:rPr>
                <w:sz w:val="24"/>
                <w:szCs w:val="24"/>
              </w:rPr>
              <w:t>The CARE act makes it easier for caregivers to get the information they need and be better prepared to help care for their family or friend</w:t>
            </w:r>
          </w:p>
        </w:tc>
      </w:tr>
      <w:tr w:rsidR="00DC762B" w:rsidTr="00295909">
        <w:tc>
          <w:tcPr>
            <w:tcW w:w="10890" w:type="dxa"/>
          </w:tcPr>
          <w:p w:rsidR="00295909" w:rsidRPr="00224ACC" w:rsidRDefault="00295909" w:rsidP="00DC762B">
            <w:pPr>
              <w:pStyle w:val="Heading1"/>
              <w:spacing w:before="0"/>
              <w:ind w:left="0"/>
              <w:outlineLvl w:val="0"/>
              <w:rPr>
                <w:sz w:val="28"/>
                <w:szCs w:val="28"/>
              </w:rPr>
            </w:pPr>
          </w:p>
          <w:p w:rsidR="00DC762B" w:rsidRPr="00A111CC" w:rsidRDefault="00DC762B" w:rsidP="00DC762B">
            <w:pPr>
              <w:pStyle w:val="Heading1"/>
              <w:spacing w:before="0"/>
              <w:ind w:left="0"/>
              <w:outlineLvl w:val="0"/>
            </w:pPr>
            <w:r>
              <w:t>F</w:t>
            </w:r>
            <w:r w:rsidR="00295909">
              <w:t xml:space="preserve">requently </w:t>
            </w:r>
            <w:r>
              <w:t>A</w:t>
            </w:r>
            <w:r w:rsidR="00295909">
              <w:t xml:space="preserve">sked </w:t>
            </w:r>
            <w:r>
              <w:t>Q</w:t>
            </w:r>
            <w:r w:rsidR="00295909">
              <w:t>uestions</w:t>
            </w:r>
          </w:p>
          <w:p w:rsidR="00DC762B" w:rsidRPr="00BE422D" w:rsidRDefault="00DC762B" w:rsidP="00DC762B">
            <w:pPr>
              <w:rPr>
                <w:color w:val="1287C3"/>
                <w:sz w:val="10"/>
                <w:szCs w:val="10"/>
              </w:rPr>
            </w:pPr>
          </w:p>
          <w:p w:rsidR="00BE422D" w:rsidRPr="00BE422D" w:rsidRDefault="00BE422D" w:rsidP="00BE422D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1287C3"/>
                <w:sz w:val="10"/>
                <w:szCs w:val="10"/>
              </w:rPr>
            </w:pPr>
            <w:r w:rsidRPr="00BE422D">
              <w:rPr>
                <w:b/>
                <w:i/>
                <w:color w:val="1287C3"/>
                <w:sz w:val="24"/>
                <w:szCs w:val="24"/>
              </w:rPr>
              <w:t xml:space="preserve">Does a patient have to choose a caregiver? </w:t>
            </w:r>
            <w:r w:rsidRPr="00BE422D">
              <w:rPr>
                <w:sz w:val="24"/>
                <w:szCs w:val="24"/>
              </w:rPr>
              <w:t>Patients are not required to pick a caregiver.</w:t>
            </w:r>
          </w:p>
          <w:p w:rsidR="00BE422D" w:rsidRPr="00BE422D" w:rsidRDefault="00BE422D" w:rsidP="00BE422D">
            <w:pPr>
              <w:pStyle w:val="ListParagraph"/>
              <w:ind w:left="720" w:firstLine="0"/>
              <w:rPr>
                <w:b/>
                <w:i/>
                <w:color w:val="1287C3"/>
                <w:sz w:val="10"/>
                <w:szCs w:val="10"/>
              </w:rPr>
            </w:pPr>
          </w:p>
          <w:p w:rsidR="00DC762B" w:rsidRPr="00BE422D" w:rsidRDefault="00DC762B" w:rsidP="00BE422D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1287C3"/>
                <w:sz w:val="24"/>
                <w:szCs w:val="24"/>
              </w:rPr>
            </w:pPr>
            <w:r w:rsidRPr="00DC762B">
              <w:rPr>
                <w:b/>
                <w:i/>
                <w:color w:val="1287C3"/>
                <w:sz w:val="24"/>
                <w:szCs w:val="24"/>
              </w:rPr>
              <w:t>What happens if a patient changes their mind and wants to choose a caregiver, cancel a caregiver, or choose a different caregiver?</w:t>
            </w:r>
            <w:r w:rsidR="00BE422D">
              <w:rPr>
                <w:b/>
                <w:i/>
                <w:color w:val="1287C3"/>
                <w:sz w:val="24"/>
                <w:szCs w:val="24"/>
              </w:rPr>
              <w:t xml:space="preserve"> </w:t>
            </w:r>
            <w:r w:rsidRPr="00BE422D">
              <w:rPr>
                <w:sz w:val="24"/>
                <w:szCs w:val="24"/>
              </w:rPr>
              <w:t>A patient has the right to change their caregiver at any time up until the point of discharge or transfer.</w:t>
            </w:r>
            <w:r w:rsidRPr="00BE422D">
              <w:rPr>
                <w:color w:val="1287C3"/>
                <w:sz w:val="24"/>
                <w:szCs w:val="24"/>
              </w:rPr>
              <w:t xml:space="preserve"> </w:t>
            </w:r>
            <w:r w:rsidRPr="00BE422D">
              <w:rPr>
                <w:sz w:val="24"/>
                <w:szCs w:val="24"/>
              </w:rPr>
              <w:t>Patients should notify a member of their care team in order to request a change.</w:t>
            </w:r>
          </w:p>
          <w:p w:rsidR="00DC762B" w:rsidRPr="00BE422D" w:rsidRDefault="00DC762B" w:rsidP="00DC762B">
            <w:pPr>
              <w:rPr>
                <w:sz w:val="10"/>
                <w:szCs w:val="10"/>
              </w:rPr>
            </w:pPr>
          </w:p>
          <w:p w:rsidR="00BE422D" w:rsidRPr="00BE422D" w:rsidRDefault="00DC762B" w:rsidP="00BE422D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1287C3"/>
                <w:sz w:val="24"/>
                <w:szCs w:val="24"/>
              </w:rPr>
            </w:pPr>
            <w:r w:rsidRPr="00DC762B">
              <w:rPr>
                <w:b/>
                <w:i/>
                <w:color w:val="1287C3"/>
                <w:sz w:val="24"/>
                <w:szCs w:val="24"/>
              </w:rPr>
              <w:t xml:space="preserve">What types of patient Information can be provided to a caregiver? </w:t>
            </w:r>
            <w:r w:rsidRPr="00BE422D">
              <w:rPr>
                <w:sz w:val="24"/>
                <w:szCs w:val="24"/>
              </w:rPr>
              <w:t xml:space="preserve">Information can include discharge </w:t>
            </w:r>
            <w:r w:rsidR="00BE422D">
              <w:rPr>
                <w:sz w:val="24"/>
                <w:szCs w:val="24"/>
              </w:rPr>
              <w:t xml:space="preserve">plans </w:t>
            </w:r>
            <w:r w:rsidRPr="00BE422D">
              <w:rPr>
                <w:sz w:val="24"/>
                <w:szCs w:val="24"/>
              </w:rPr>
              <w:t>or</w:t>
            </w:r>
            <w:r w:rsidR="00BE422D">
              <w:rPr>
                <w:sz w:val="24"/>
                <w:szCs w:val="24"/>
              </w:rPr>
              <w:t xml:space="preserve"> </w:t>
            </w:r>
            <w:r w:rsidR="00C85008">
              <w:rPr>
                <w:sz w:val="24"/>
                <w:szCs w:val="24"/>
              </w:rPr>
              <w:t xml:space="preserve">detailed medical </w:t>
            </w:r>
            <w:r w:rsidR="00BE422D">
              <w:rPr>
                <w:sz w:val="24"/>
                <w:szCs w:val="24"/>
              </w:rPr>
              <w:t>information</w:t>
            </w:r>
            <w:r w:rsidRPr="00BE422D">
              <w:rPr>
                <w:sz w:val="24"/>
                <w:szCs w:val="24"/>
              </w:rPr>
              <w:t xml:space="preserve"> about the</w:t>
            </w:r>
            <w:r w:rsidR="006C67DC">
              <w:rPr>
                <w:sz w:val="24"/>
                <w:szCs w:val="24"/>
              </w:rPr>
              <w:t xml:space="preserve"> patient’s specific </w:t>
            </w:r>
            <w:r w:rsidRPr="00BE422D">
              <w:rPr>
                <w:sz w:val="24"/>
                <w:szCs w:val="24"/>
              </w:rPr>
              <w:t>health condition</w:t>
            </w:r>
            <w:r w:rsidR="00C85008">
              <w:rPr>
                <w:sz w:val="24"/>
                <w:szCs w:val="24"/>
              </w:rPr>
              <w:t>(s)</w:t>
            </w:r>
            <w:r w:rsidRPr="00BE422D">
              <w:rPr>
                <w:sz w:val="24"/>
                <w:szCs w:val="24"/>
              </w:rPr>
              <w:t xml:space="preserve">. </w:t>
            </w:r>
            <w:r w:rsidR="00BE422D" w:rsidRPr="00BE422D">
              <w:rPr>
                <w:sz w:val="24"/>
                <w:szCs w:val="24"/>
              </w:rPr>
              <w:t xml:space="preserve">The type of information shared will be based on what the patient has authorized the hospital to </w:t>
            </w:r>
            <w:r w:rsidR="006C67DC">
              <w:rPr>
                <w:sz w:val="24"/>
                <w:szCs w:val="24"/>
              </w:rPr>
              <w:t>release to a caregiver</w:t>
            </w:r>
            <w:r w:rsidR="00BE422D" w:rsidRPr="00BE422D">
              <w:rPr>
                <w:sz w:val="24"/>
                <w:szCs w:val="24"/>
              </w:rPr>
              <w:t>. A patient is not required to</w:t>
            </w:r>
            <w:r w:rsidR="00BE422D" w:rsidRPr="00BE422D">
              <w:rPr>
                <w:i/>
                <w:sz w:val="24"/>
                <w:szCs w:val="24"/>
              </w:rPr>
              <w:t xml:space="preserve"> </w:t>
            </w:r>
            <w:r w:rsidR="00C85008">
              <w:rPr>
                <w:sz w:val="24"/>
                <w:szCs w:val="24"/>
              </w:rPr>
              <w:t xml:space="preserve">share their </w:t>
            </w:r>
            <w:r w:rsidR="00BE422D">
              <w:rPr>
                <w:sz w:val="24"/>
                <w:szCs w:val="24"/>
              </w:rPr>
              <w:t>health condition or discharge plan provided to a caregiver</w:t>
            </w:r>
            <w:r w:rsidR="00C85008">
              <w:rPr>
                <w:sz w:val="24"/>
                <w:szCs w:val="24"/>
              </w:rPr>
              <w:t>, and should talk to their care team about what they want to share with the caregiver</w:t>
            </w:r>
            <w:r w:rsidR="006C67DC" w:rsidRPr="00BE422D">
              <w:rPr>
                <w:sz w:val="24"/>
                <w:szCs w:val="24"/>
              </w:rPr>
              <w:t>.</w:t>
            </w:r>
          </w:p>
          <w:p w:rsidR="00DC762B" w:rsidRPr="00BE422D" w:rsidRDefault="00DC762B" w:rsidP="00BE422D">
            <w:pPr>
              <w:rPr>
                <w:sz w:val="10"/>
                <w:szCs w:val="10"/>
              </w:rPr>
            </w:pPr>
          </w:p>
          <w:p w:rsidR="00BE422D" w:rsidRPr="00BE422D" w:rsidRDefault="00DC762B" w:rsidP="00BE422D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1287C3"/>
                <w:sz w:val="24"/>
                <w:szCs w:val="24"/>
              </w:rPr>
            </w:pPr>
            <w:r w:rsidRPr="00DC762B">
              <w:rPr>
                <w:b/>
                <w:i/>
                <w:color w:val="1287C3"/>
                <w:sz w:val="24"/>
                <w:szCs w:val="24"/>
              </w:rPr>
              <w:t>W</w:t>
            </w:r>
            <w:r w:rsidR="00BE422D">
              <w:rPr>
                <w:b/>
                <w:i/>
                <w:color w:val="1287C3"/>
                <w:sz w:val="24"/>
                <w:szCs w:val="24"/>
              </w:rPr>
              <w:t>hat aftercare information can a</w:t>
            </w:r>
            <w:r w:rsidRPr="00DC762B">
              <w:rPr>
                <w:b/>
                <w:i/>
                <w:color w:val="1287C3"/>
                <w:sz w:val="24"/>
                <w:szCs w:val="24"/>
              </w:rPr>
              <w:t xml:space="preserve"> caregiver expect to receive? </w:t>
            </w:r>
            <w:r w:rsidR="00BE422D">
              <w:rPr>
                <w:sz w:val="24"/>
                <w:szCs w:val="24"/>
              </w:rPr>
              <w:t xml:space="preserve">Caregivers can expect to receive a copy of the patient’s discharge plan (if approved by the patient) as well as the following; </w:t>
            </w:r>
          </w:p>
          <w:p w:rsidR="00BE422D" w:rsidRPr="00BE422D" w:rsidRDefault="00BE422D" w:rsidP="00BE422D">
            <w:pPr>
              <w:pStyle w:val="ListParagraph"/>
              <w:numPr>
                <w:ilvl w:val="1"/>
                <w:numId w:val="1"/>
              </w:numPr>
              <w:rPr>
                <w:b/>
                <w:i/>
                <w:color w:val="1287C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demonstration of known aftercare tasks; </w:t>
            </w:r>
          </w:p>
          <w:p w:rsidR="00BE422D" w:rsidRPr="00BE422D" w:rsidRDefault="00C85008" w:rsidP="00BE422D">
            <w:pPr>
              <w:pStyle w:val="ListParagraph"/>
              <w:numPr>
                <w:ilvl w:val="1"/>
                <w:numId w:val="1"/>
              </w:numPr>
              <w:rPr>
                <w:b/>
                <w:i/>
                <w:color w:val="1287C3"/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c</w:t>
            </w:r>
            <w:r w:rsidR="00BE422D">
              <w:rPr>
                <w:sz w:val="24"/>
                <w:szCs w:val="24"/>
              </w:rPr>
              <w:t xml:space="preserve">ommunity </w:t>
            </w:r>
            <w:r>
              <w:rPr>
                <w:sz w:val="24"/>
                <w:szCs w:val="24"/>
              </w:rPr>
              <w:t>r</w:t>
            </w:r>
            <w:r w:rsidR="00BE422D">
              <w:rPr>
                <w:sz w:val="24"/>
                <w:szCs w:val="24"/>
              </w:rPr>
              <w:t xml:space="preserve">esources and long term care supports, as </w:t>
            </w:r>
            <w:r>
              <w:rPr>
                <w:sz w:val="24"/>
                <w:szCs w:val="24"/>
              </w:rPr>
              <w:t xml:space="preserve">needed and </w:t>
            </w:r>
            <w:r w:rsidR="00BE422D">
              <w:rPr>
                <w:sz w:val="24"/>
                <w:szCs w:val="24"/>
              </w:rPr>
              <w:t>appropriate; and</w:t>
            </w:r>
          </w:p>
          <w:p w:rsidR="00BE422D" w:rsidRPr="00BE422D" w:rsidRDefault="00BE422D" w:rsidP="00BE422D">
            <w:pPr>
              <w:pStyle w:val="ListParagraph"/>
              <w:numPr>
                <w:ilvl w:val="1"/>
                <w:numId w:val="1"/>
              </w:numPr>
              <w:rPr>
                <w:b/>
                <w:i/>
                <w:color w:val="1287C3"/>
                <w:sz w:val="24"/>
                <w:szCs w:val="24"/>
              </w:rPr>
            </w:pPr>
            <w:r>
              <w:rPr>
                <w:sz w:val="24"/>
                <w:szCs w:val="24"/>
              </w:rPr>
              <w:t>Who to contact at the hospital for questions after discharge</w:t>
            </w:r>
            <w:r w:rsidR="00C85008">
              <w:rPr>
                <w:sz w:val="24"/>
                <w:szCs w:val="24"/>
              </w:rPr>
              <w:t xml:space="preserve"> about the basic medical tasks discussed at discharge</w:t>
            </w:r>
            <w:r>
              <w:rPr>
                <w:sz w:val="24"/>
                <w:szCs w:val="24"/>
              </w:rPr>
              <w:t xml:space="preserve">.  </w:t>
            </w:r>
          </w:p>
          <w:p w:rsidR="00BE422D" w:rsidRPr="00BE422D" w:rsidRDefault="00BE422D" w:rsidP="00BE422D">
            <w:pPr>
              <w:pStyle w:val="ListParagraph"/>
              <w:ind w:left="1440" w:firstLine="0"/>
              <w:rPr>
                <w:b/>
                <w:i/>
                <w:color w:val="1287C3"/>
                <w:sz w:val="10"/>
                <w:szCs w:val="10"/>
              </w:rPr>
            </w:pPr>
          </w:p>
          <w:p w:rsidR="00295909" w:rsidRPr="00295909" w:rsidRDefault="00BE422D" w:rsidP="00295909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1287C3"/>
                <w:sz w:val="24"/>
                <w:szCs w:val="24"/>
              </w:rPr>
            </w:pPr>
            <w:r w:rsidRPr="00BE422D">
              <w:rPr>
                <w:b/>
                <w:i/>
                <w:color w:val="1287C3"/>
                <w:sz w:val="24"/>
                <w:szCs w:val="24"/>
              </w:rPr>
              <w:t xml:space="preserve">What happens if a care team is unable to reach a caregiver? </w:t>
            </w:r>
            <w:r w:rsidR="00295909" w:rsidRPr="00295909">
              <w:rPr>
                <w:sz w:val="24"/>
                <w:szCs w:val="24"/>
              </w:rPr>
              <w:t>A hospital should not delay in discharging or transferring a patient for clinical reasons or if they are not reasonably able to contact the caregiver, provide notice to the caregiver, or prov</w:t>
            </w:r>
            <w:r w:rsidR="00295909">
              <w:rPr>
                <w:sz w:val="24"/>
                <w:szCs w:val="24"/>
              </w:rPr>
              <w:t>ide information to a caregiver.</w:t>
            </w:r>
          </w:p>
        </w:tc>
      </w:tr>
    </w:tbl>
    <w:p w:rsidR="00DD31C8" w:rsidRDefault="00DD31C8"/>
    <w:sectPr w:rsidR="00DD31C8" w:rsidSect="00B35C24">
      <w:footerReference w:type="default" r:id="rId13"/>
      <w:pgSz w:w="12240" w:h="15840"/>
      <w:pgMar w:top="432" w:right="432" w:bottom="432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3A" w:rsidRDefault="00A0573A" w:rsidP="00B35C24">
      <w:r>
        <w:separator/>
      </w:r>
    </w:p>
  </w:endnote>
  <w:endnote w:type="continuationSeparator" w:id="0">
    <w:p w:rsidR="00A0573A" w:rsidRDefault="00A0573A" w:rsidP="00B3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24" w:rsidRPr="00B35C24" w:rsidRDefault="00B35C24" w:rsidP="00B35C24">
    <w:pPr>
      <w:pStyle w:val="Footer"/>
      <w:jc w:val="center"/>
      <w:rPr>
        <w:b/>
        <w:sz w:val="16"/>
        <w:szCs w:val="16"/>
      </w:rPr>
    </w:pPr>
    <w:r w:rsidRPr="00B35C24">
      <w:rPr>
        <w:b/>
        <w:sz w:val="16"/>
        <w:szCs w:val="16"/>
      </w:rPr>
      <w:t>Fact Sheet Provided by Massachusetts Health &amp; Hospital Association</w:t>
    </w:r>
    <w:r>
      <w:rPr>
        <w:b/>
        <w:sz w:val="16"/>
        <w:szCs w:val="16"/>
      </w:rPr>
      <w:t xml:space="preserve"> August 2017</w:t>
    </w:r>
  </w:p>
  <w:p w:rsidR="00B35C24" w:rsidRDefault="00B35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3A" w:rsidRDefault="00A0573A" w:rsidP="00B35C24">
      <w:r>
        <w:separator/>
      </w:r>
    </w:p>
  </w:footnote>
  <w:footnote w:type="continuationSeparator" w:id="0">
    <w:p w:rsidR="00A0573A" w:rsidRDefault="00A0573A" w:rsidP="00B3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2898"/>
    <w:multiLevelType w:val="hybridMultilevel"/>
    <w:tmpl w:val="0226E0D0"/>
    <w:lvl w:ilvl="0" w:tplc="F49ED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2B"/>
    <w:rsid w:val="00224ACC"/>
    <w:rsid w:val="00295909"/>
    <w:rsid w:val="00565F6B"/>
    <w:rsid w:val="006339C4"/>
    <w:rsid w:val="006C67DC"/>
    <w:rsid w:val="006E3804"/>
    <w:rsid w:val="00A0573A"/>
    <w:rsid w:val="00B35C24"/>
    <w:rsid w:val="00BE422D"/>
    <w:rsid w:val="00C85008"/>
    <w:rsid w:val="00DC762B"/>
    <w:rsid w:val="00D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D0A1D-785B-4ADF-A8BC-49051EAA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DC76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DC762B"/>
    <w:pPr>
      <w:spacing w:before="199"/>
      <w:ind w:left="600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C762B"/>
    <w:pPr>
      <w:spacing w:before="55"/>
      <w:ind w:left="840" w:hanging="240"/>
    </w:pPr>
  </w:style>
  <w:style w:type="character" w:customStyle="1" w:styleId="BodyTextChar">
    <w:name w:val="Body Text Char"/>
    <w:basedOn w:val="DefaultParagraphFont"/>
    <w:link w:val="BodyText"/>
    <w:uiPriority w:val="1"/>
    <w:rsid w:val="00DC762B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DC762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C762B"/>
    <w:rPr>
      <w:rFonts w:ascii="Calibri" w:eastAsia="Calibri" w:hAnsi="Calibri" w:cs="Calibri"/>
      <w:b/>
      <w:bCs/>
      <w:i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DC762B"/>
    <w:pPr>
      <w:spacing w:before="55"/>
      <w:ind w:left="840" w:hanging="240"/>
    </w:pPr>
  </w:style>
  <w:style w:type="paragraph" w:styleId="Header">
    <w:name w:val="header"/>
    <w:basedOn w:val="Normal"/>
    <w:link w:val="HeaderChar"/>
    <w:uiPriority w:val="99"/>
    <w:unhideWhenUsed/>
    <w:rsid w:val="00B35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C2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5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24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623D4C-19FB-4D99-BAAD-12608CDB74DD}" type="doc">
      <dgm:prSet loTypeId="urn:microsoft.com/office/officeart/2005/8/layout/vList3" loCatId="list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49573DAD-D1D8-4304-9768-797FEA5C6283}">
      <dgm:prSet phldrT="[Text]" custT="1"/>
      <dgm:spPr>
        <a:xfrm>
          <a:off x="759325" y="1330235"/>
          <a:ext cx="6886135" cy="920928"/>
        </a:xfrm>
        <a:ln>
          <a:solidFill>
            <a:srgbClr val="FBAA12"/>
          </a:solidFill>
        </a:ln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200" dirty="0">
              <a:latin typeface="Calibri"/>
              <a:ea typeface="+mn-ea"/>
              <a:cs typeface="+mn-cs"/>
            </a:rPr>
            <a:t>The </a:t>
          </a:r>
          <a:r>
            <a:rPr lang="en-US" sz="1200" b="1" dirty="0">
              <a:latin typeface="Calibri"/>
              <a:ea typeface="+mn-ea"/>
              <a:cs typeface="+mn-cs"/>
            </a:rPr>
            <a:t>caregiver is notified</a:t>
          </a:r>
          <a:r>
            <a:rPr lang="en-US" sz="1200" dirty="0">
              <a:latin typeface="Calibri"/>
              <a:ea typeface="+mn-ea"/>
              <a:cs typeface="+mn-cs"/>
            </a:rPr>
            <a:t> when the patient is to be discharged to another facility or back home; and</a:t>
          </a:r>
        </a:p>
      </dgm:t>
    </dgm:pt>
    <dgm:pt modelId="{CBBF666B-BBB5-42FF-A549-CE4ABBBC7095}" type="parTrans" cxnId="{10343EA3-62B9-410C-B0F1-95C40B172D1C}">
      <dgm:prSet/>
      <dgm:spPr/>
      <dgm:t>
        <a:bodyPr/>
        <a:lstStyle/>
        <a:p>
          <a:endParaRPr lang="en-US"/>
        </a:p>
      </dgm:t>
    </dgm:pt>
    <dgm:pt modelId="{FDE19532-7AC0-4672-8C91-5F14E99D97AD}" type="sibTrans" cxnId="{10343EA3-62B9-410C-B0F1-95C40B172D1C}">
      <dgm:prSet/>
      <dgm:spPr/>
      <dgm:t>
        <a:bodyPr/>
        <a:lstStyle/>
        <a:p>
          <a:endParaRPr lang="en-US"/>
        </a:p>
      </dgm:t>
    </dgm:pt>
    <dgm:pt modelId="{48E799B1-DC9A-4B28-B128-2A61C8449F88}">
      <dgm:prSet phldrT="[Text]" custT="1"/>
      <dgm:spPr>
        <a:xfrm>
          <a:off x="498957" y="2404655"/>
          <a:ext cx="7146503" cy="920928"/>
        </a:xfrm>
        <a:ln>
          <a:solidFill>
            <a:srgbClr val="007581"/>
          </a:solidFill>
        </a:ln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200" dirty="0">
              <a:latin typeface="Calibri"/>
              <a:ea typeface="+mn-ea"/>
              <a:cs typeface="+mn-cs"/>
            </a:rPr>
            <a:t>The hospital </a:t>
          </a:r>
          <a:r>
            <a:rPr lang="en-US" sz="1200" b="1" dirty="0">
              <a:latin typeface="Calibri"/>
              <a:ea typeface="+mn-ea"/>
              <a:cs typeface="+mn-cs"/>
            </a:rPr>
            <a:t>provides an explanation and demonstration</a:t>
          </a:r>
          <a:r>
            <a:rPr lang="en-US" sz="1200" dirty="0">
              <a:latin typeface="Calibri"/>
              <a:ea typeface="+mn-ea"/>
              <a:cs typeface="+mn-cs"/>
            </a:rPr>
            <a:t> </a:t>
          </a:r>
          <a:r>
            <a:rPr lang="en-US" sz="1200" dirty="0"/>
            <a:t>of the basic medical tasks that the patient should follow at home.</a:t>
          </a:r>
          <a:endParaRPr lang="en-US" sz="1200" dirty="0">
            <a:latin typeface="Calibri"/>
            <a:ea typeface="+mn-ea"/>
            <a:cs typeface="+mn-cs"/>
          </a:endParaRPr>
        </a:p>
      </dgm:t>
    </dgm:pt>
    <dgm:pt modelId="{4A805446-F3D7-49FC-93E1-F28F25FE5A4A}" type="parTrans" cxnId="{5A8FE53B-C32C-4D64-B678-C0AECFA721F1}">
      <dgm:prSet/>
      <dgm:spPr/>
      <dgm:t>
        <a:bodyPr/>
        <a:lstStyle/>
        <a:p>
          <a:endParaRPr lang="en-US"/>
        </a:p>
      </dgm:t>
    </dgm:pt>
    <dgm:pt modelId="{915AD32A-0609-46D9-AC21-BE90B319D42C}" type="sibTrans" cxnId="{5A8FE53B-C32C-4D64-B678-C0AECFA721F1}">
      <dgm:prSet/>
      <dgm:spPr/>
      <dgm:t>
        <a:bodyPr/>
        <a:lstStyle/>
        <a:p>
          <a:endParaRPr lang="en-US"/>
        </a:p>
      </dgm:t>
    </dgm:pt>
    <dgm:pt modelId="{47FF303D-B0C9-4AF1-8C3E-63BCD6BAF42C}">
      <dgm:prSet phldrT="[Text]" custT="1"/>
      <dgm:spPr>
        <a:xfrm>
          <a:off x="498957" y="255815"/>
          <a:ext cx="7146503" cy="920928"/>
        </a:xfrm>
        <a:ln>
          <a:solidFill>
            <a:srgbClr val="BD3817"/>
          </a:solidFill>
        </a:ln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200" dirty="0">
              <a:effectLst>
                <a:outerShdw blurRad="50800" dist="50800" dir="5400000" algn="ctr" rotWithShape="0">
                  <a:schemeClr val="bg1"/>
                </a:outerShdw>
              </a:effectLst>
              <a:latin typeface="Calibri"/>
              <a:ea typeface="+mn-ea"/>
              <a:cs typeface="+mn-cs"/>
            </a:rPr>
            <a:t>The hospital provides a patient with an opportunity to </a:t>
          </a:r>
          <a:r>
            <a:rPr lang="en-US" sz="1200" b="1" dirty="0">
              <a:effectLst>
                <a:outerShdw blurRad="50800" dist="50800" dir="5400000" algn="ctr" rotWithShape="0">
                  <a:schemeClr val="bg1"/>
                </a:outerShdw>
              </a:effectLst>
              <a:latin typeface="Calibri"/>
              <a:ea typeface="+mn-ea"/>
              <a:cs typeface="+mn-cs"/>
            </a:rPr>
            <a:t>designate a caregiver</a:t>
          </a:r>
          <a:r>
            <a:rPr lang="en-US" sz="1200" dirty="0">
              <a:latin typeface="Calibri"/>
              <a:ea typeface="+mn-ea"/>
              <a:cs typeface="+mn-cs"/>
            </a:rPr>
            <a:t>;</a:t>
          </a:r>
        </a:p>
      </dgm:t>
    </dgm:pt>
    <dgm:pt modelId="{A84D3014-69B0-47DC-9663-CDC279492A15}" type="sibTrans" cxnId="{7947DED5-EC18-4003-AFC5-FD475FDD930E}">
      <dgm:prSet/>
      <dgm:spPr>
        <a:xfrm>
          <a:off x="-4048330" y="-621400"/>
          <a:ext cx="4824201" cy="4824201"/>
        </a:xfrm>
      </dgm:spPr>
      <dgm:t>
        <a:bodyPr/>
        <a:lstStyle/>
        <a:p>
          <a:endParaRPr lang="en-US"/>
        </a:p>
      </dgm:t>
    </dgm:pt>
    <dgm:pt modelId="{11A9727F-543F-49ED-9002-445B2DA00960}" type="parTrans" cxnId="{7947DED5-EC18-4003-AFC5-FD475FDD930E}">
      <dgm:prSet/>
      <dgm:spPr/>
      <dgm:t>
        <a:bodyPr/>
        <a:lstStyle/>
        <a:p>
          <a:endParaRPr lang="en-US"/>
        </a:p>
      </dgm:t>
    </dgm:pt>
    <dgm:pt modelId="{4823F13D-41FD-420C-9FF2-7FD1F447A2BF}" type="pres">
      <dgm:prSet presAssocID="{70623D4C-19FB-4D99-BAAD-12608CDB74DD}" presName="linearFlow" presStyleCnt="0">
        <dgm:presLayoutVars>
          <dgm:dir/>
          <dgm:resizeHandles val="exact"/>
        </dgm:presLayoutVars>
      </dgm:prSet>
      <dgm:spPr/>
    </dgm:pt>
    <dgm:pt modelId="{B1D4CE24-DF6B-4986-AA33-53B30E1D38EA}" type="pres">
      <dgm:prSet presAssocID="{47FF303D-B0C9-4AF1-8C3E-63BCD6BAF42C}" presName="composite" presStyleCnt="0"/>
      <dgm:spPr/>
    </dgm:pt>
    <dgm:pt modelId="{C2B11E57-2AD4-4F77-B538-E2F02525BE18}" type="pres">
      <dgm:prSet presAssocID="{47FF303D-B0C9-4AF1-8C3E-63BCD6BAF42C}" presName="imgShp" presStyleLbl="fgImgPlace1" presStyleIdx="0" presStyleCnt="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BAEDC89-713B-4F2A-BB95-26C4A7DDE3B3}" type="pres">
      <dgm:prSet presAssocID="{47FF303D-B0C9-4AF1-8C3E-63BCD6BAF42C}" presName="txShp" presStyleLbl="node1" presStyleIdx="0" presStyleCnt="3">
        <dgm:presLayoutVars>
          <dgm:bulletEnabled val="1"/>
        </dgm:presLayoutVars>
      </dgm:prSet>
      <dgm:spPr/>
    </dgm:pt>
    <dgm:pt modelId="{0CE3A2FC-629C-4405-9A23-7F91981A8DF1}" type="pres">
      <dgm:prSet presAssocID="{A84D3014-69B0-47DC-9663-CDC279492A15}" presName="spacing" presStyleCnt="0"/>
      <dgm:spPr/>
    </dgm:pt>
    <dgm:pt modelId="{6BCF8E55-2014-4D57-93D9-4AEE0526711F}" type="pres">
      <dgm:prSet presAssocID="{49573DAD-D1D8-4304-9768-797FEA5C6283}" presName="composite" presStyleCnt="0"/>
      <dgm:spPr/>
    </dgm:pt>
    <dgm:pt modelId="{7055DE9B-5121-4CD0-9553-32F9A6E3EC43}" type="pres">
      <dgm:prSet presAssocID="{49573DAD-D1D8-4304-9768-797FEA5C6283}" presName="imgShp" presStyleLbl="fgImgPlace1" presStyleIdx="1" presStyleCnt="3"/>
      <dgm:spPr>
        <a:blipFill rotWithShape="1">
          <a:blip xmlns:r="http://schemas.openxmlformats.org/officeDocument/2006/relationships" r:embed="rId2"/>
          <a:stretch>
            <a:fillRect/>
          </a:stretch>
        </a:blipFill>
        <a:ln>
          <a:solidFill>
            <a:srgbClr val="FBAA12"/>
          </a:solidFill>
        </a:ln>
      </dgm:spPr>
    </dgm:pt>
    <dgm:pt modelId="{81A69B9A-ECCE-43BB-9638-C1BA767924FF}" type="pres">
      <dgm:prSet presAssocID="{49573DAD-D1D8-4304-9768-797FEA5C6283}" presName="txShp" presStyleLbl="node1" presStyleIdx="1" presStyleCnt="3" custLinFactNeighborX="-476">
        <dgm:presLayoutVars>
          <dgm:bulletEnabled val="1"/>
        </dgm:presLayoutVars>
      </dgm:prSet>
      <dgm:spPr/>
    </dgm:pt>
    <dgm:pt modelId="{1C0E3B81-C90D-4087-9CAD-3B1F137E88BF}" type="pres">
      <dgm:prSet presAssocID="{FDE19532-7AC0-4672-8C91-5F14E99D97AD}" presName="spacing" presStyleCnt="0"/>
      <dgm:spPr/>
    </dgm:pt>
    <dgm:pt modelId="{E31C78C0-DEFB-4C21-87BD-7930AAD7558D}" type="pres">
      <dgm:prSet presAssocID="{48E799B1-DC9A-4B28-B128-2A61C8449F88}" presName="composite" presStyleCnt="0"/>
      <dgm:spPr/>
    </dgm:pt>
    <dgm:pt modelId="{36292291-6F86-4640-9371-415B4B13ED7E}" type="pres">
      <dgm:prSet presAssocID="{48E799B1-DC9A-4B28-B128-2A61C8449F88}" presName="imgShp" presStyleLbl="fgImgPlace1" presStyleIdx="2" presStyleCnt="3"/>
      <dgm:spPr>
        <a:blipFill rotWithShape="1">
          <a:blip xmlns:r="http://schemas.openxmlformats.org/officeDocument/2006/relationships" r:embed="rId3"/>
          <a:stretch>
            <a:fillRect/>
          </a:stretch>
        </a:blipFill>
        <a:ln>
          <a:solidFill>
            <a:srgbClr val="007581"/>
          </a:solidFill>
        </a:ln>
      </dgm:spPr>
    </dgm:pt>
    <dgm:pt modelId="{109C3C03-8528-4460-81FB-59F84C9CBA7D}" type="pres">
      <dgm:prSet presAssocID="{48E799B1-DC9A-4B28-B128-2A61C8449F88}" presName="txShp" presStyleLbl="node1" presStyleIdx="2" presStyleCnt="3">
        <dgm:presLayoutVars>
          <dgm:bulletEnabled val="1"/>
        </dgm:presLayoutVars>
      </dgm:prSet>
      <dgm:spPr/>
    </dgm:pt>
  </dgm:ptLst>
  <dgm:cxnLst>
    <dgm:cxn modelId="{3C838DC6-3171-4CFE-8155-114D1873644E}" type="presOf" srcId="{47FF303D-B0C9-4AF1-8C3E-63BCD6BAF42C}" destId="{8BAEDC89-713B-4F2A-BB95-26C4A7DDE3B3}" srcOrd="0" destOrd="0" presId="urn:microsoft.com/office/officeart/2005/8/layout/vList3"/>
    <dgm:cxn modelId="{CAC93417-415B-4438-B1E9-8F57CA189B53}" type="presOf" srcId="{48E799B1-DC9A-4B28-B128-2A61C8449F88}" destId="{109C3C03-8528-4460-81FB-59F84C9CBA7D}" srcOrd="0" destOrd="0" presId="urn:microsoft.com/office/officeart/2005/8/layout/vList3"/>
    <dgm:cxn modelId="{5A8FE53B-C32C-4D64-B678-C0AECFA721F1}" srcId="{70623D4C-19FB-4D99-BAAD-12608CDB74DD}" destId="{48E799B1-DC9A-4B28-B128-2A61C8449F88}" srcOrd="2" destOrd="0" parTransId="{4A805446-F3D7-49FC-93E1-F28F25FE5A4A}" sibTransId="{915AD32A-0609-46D9-AC21-BE90B319D42C}"/>
    <dgm:cxn modelId="{AB119BA3-4848-4D76-AD50-662D5755F536}" type="presOf" srcId="{70623D4C-19FB-4D99-BAAD-12608CDB74DD}" destId="{4823F13D-41FD-420C-9FF2-7FD1F447A2BF}" srcOrd="0" destOrd="0" presId="urn:microsoft.com/office/officeart/2005/8/layout/vList3"/>
    <dgm:cxn modelId="{A0A3E551-5BA5-42A9-9CDC-53C29FB4C9AE}" type="presOf" srcId="{49573DAD-D1D8-4304-9768-797FEA5C6283}" destId="{81A69B9A-ECCE-43BB-9638-C1BA767924FF}" srcOrd="0" destOrd="0" presId="urn:microsoft.com/office/officeart/2005/8/layout/vList3"/>
    <dgm:cxn modelId="{7947DED5-EC18-4003-AFC5-FD475FDD930E}" srcId="{70623D4C-19FB-4D99-BAAD-12608CDB74DD}" destId="{47FF303D-B0C9-4AF1-8C3E-63BCD6BAF42C}" srcOrd="0" destOrd="0" parTransId="{11A9727F-543F-49ED-9002-445B2DA00960}" sibTransId="{A84D3014-69B0-47DC-9663-CDC279492A15}"/>
    <dgm:cxn modelId="{10343EA3-62B9-410C-B0F1-95C40B172D1C}" srcId="{70623D4C-19FB-4D99-BAAD-12608CDB74DD}" destId="{49573DAD-D1D8-4304-9768-797FEA5C6283}" srcOrd="1" destOrd="0" parTransId="{CBBF666B-BBB5-42FF-A549-CE4ABBBC7095}" sibTransId="{FDE19532-7AC0-4672-8C91-5F14E99D97AD}"/>
    <dgm:cxn modelId="{FF134012-8B07-4C80-ACEC-9ECC934D8228}" type="presParOf" srcId="{4823F13D-41FD-420C-9FF2-7FD1F447A2BF}" destId="{B1D4CE24-DF6B-4986-AA33-53B30E1D38EA}" srcOrd="0" destOrd="0" presId="urn:microsoft.com/office/officeart/2005/8/layout/vList3"/>
    <dgm:cxn modelId="{D2B0C4C4-4C3E-4DC4-8187-4A18B4223FB7}" type="presParOf" srcId="{B1D4CE24-DF6B-4986-AA33-53B30E1D38EA}" destId="{C2B11E57-2AD4-4F77-B538-E2F02525BE18}" srcOrd="0" destOrd="0" presId="urn:microsoft.com/office/officeart/2005/8/layout/vList3"/>
    <dgm:cxn modelId="{5DE757A2-D6EC-4648-AFEF-27CEB7F2895A}" type="presParOf" srcId="{B1D4CE24-DF6B-4986-AA33-53B30E1D38EA}" destId="{8BAEDC89-713B-4F2A-BB95-26C4A7DDE3B3}" srcOrd="1" destOrd="0" presId="urn:microsoft.com/office/officeart/2005/8/layout/vList3"/>
    <dgm:cxn modelId="{518D2B4A-F8E6-4292-94EC-1523268DEB94}" type="presParOf" srcId="{4823F13D-41FD-420C-9FF2-7FD1F447A2BF}" destId="{0CE3A2FC-629C-4405-9A23-7F91981A8DF1}" srcOrd="1" destOrd="0" presId="urn:microsoft.com/office/officeart/2005/8/layout/vList3"/>
    <dgm:cxn modelId="{F061C2DD-B1BE-47C7-ADA1-5982AC59501C}" type="presParOf" srcId="{4823F13D-41FD-420C-9FF2-7FD1F447A2BF}" destId="{6BCF8E55-2014-4D57-93D9-4AEE0526711F}" srcOrd="2" destOrd="0" presId="urn:microsoft.com/office/officeart/2005/8/layout/vList3"/>
    <dgm:cxn modelId="{13FA7C2F-C33C-4EDB-A1FB-86AAC7F87136}" type="presParOf" srcId="{6BCF8E55-2014-4D57-93D9-4AEE0526711F}" destId="{7055DE9B-5121-4CD0-9553-32F9A6E3EC43}" srcOrd="0" destOrd="0" presId="urn:microsoft.com/office/officeart/2005/8/layout/vList3"/>
    <dgm:cxn modelId="{94450E5E-2BBE-4A9F-AEF0-7E82593469F3}" type="presParOf" srcId="{6BCF8E55-2014-4D57-93D9-4AEE0526711F}" destId="{81A69B9A-ECCE-43BB-9638-C1BA767924FF}" srcOrd="1" destOrd="0" presId="urn:microsoft.com/office/officeart/2005/8/layout/vList3"/>
    <dgm:cxn modelId="{2854B52E-DA5F-4D11-848B-03664B3C1218}" type="presParOf" srcId="{4823F13D-41FD-420C-9FF2-7FD1F447A2BF}" destId="{1C0E3B81-C90D-4087-9CAD-3B1F137E88BF}" srcOrd="3" destOrd="0" presId="urn:microsoft.com/office/officeart/2005/8/layout/vList3"/>
    <dgm:cxn modelId="{7C4CC9D5-DFE2-432E-9C55-D87CEEB729D4}" type="presParOf" srcId="{4823F13D-41FD-420C-9FF2-7FD1F447A2BF}" destId="{E31C78C0-DEFB-4C21-87BD-7930AAD7558D}" srcOrd="4" destOrd="0" presId="urn:microsoft.com/office/officeart/2005/8/layout/vList3"/>
    <dgm:cxn modelId="{A0A24EC9-8FBB-4BC4-9564-493CEF0E6A77}" type="presParOf" srcId="{E31C78C0-DEFB-4C21-87BD-7930AAD7558D}" destId="{36292291-6F86-4640-9371-415B4B13ED7E}" srcOrd="0" destOrd="0" presId="urn:microsoft.com/office/officeart/2005/8/layout/vList3"/>
    <dgm:cxn modelId="{CE342C27-AE08-4459-99EC-7DA6354EF10D}" type="presParOf" srcId="{E31C78C0-DEFB-4C21-87BD-7930AAD7558D}" destId="{109C3C03-8528-4460-81FB-59F84C9CBA7D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AEDC89-713B-4F2A-BB95-26C4A7DDE3B3}">
      <dsp:nvSpPr>
        <dsp:cNvPr id="0" name=""/>
        <dsp:cNvSpPr/>
      </dsp:nvSpPr>
      <dsp:spPr>
        <a:xfrm rot="10800000">
          <a:off x="1224980" y="206"/>
          <a:ext cx="4383214" cy="483751"/>
        </a:xfrm>
        <a:prstGeom prst="homePlat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rgbClr val="BD3817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3321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effectLst>
                <a:outerShdw blurRad="50800" dist="50800" dir="5400000" algn="ctr" rotWithShape="0">
                  <a:schemeClr val="bg1"/>
                </a:outerShdw>
              </a:effectLst>
              <a:latin typeface="Calibri"/>
              <a:ea typeface="+mn-ea"/>
              <a:cs typeface="+mn-cs"/>
            </a:rPr>
            <a:t>The hospital provides a patient with an opportunity to </a:t>
          </a:r>
          <a:r>
            <a:rPr lang="en-US" sz="1200" b="1" kern="1200" dirty="0">
              <a:effectLst>
                <a:outerShdw blurRad="50800" dist="50800" dir="5400000" algn="ctr" rotWithShape="0">
                  <a:schemeClr val="bg1"/>
                </a:outerShdw>
              </a:effectLst>
              <a:latin typeface="Calibri"/>
              <a:ea typeface="+mn-ea"/>
              <a:cs typeface="+mn-cs"/>
            </a:rPr>
            <a:t>designate a caregiver</a:t>
          </a:r>
          <a:r>
            <a:rPr lang="en-US" sz="1200" kern="1200" dirty="0">
              <a:latin typeface="Calibri"/>
              <a:ea typeface="+mn-ea"/>
              <a:cs typeface="+mn-cs"/>
            </a:rPr>
            <a:t>;</a:t>
          </a:r>
        </a:p>
      </dsp:txBody>
      <dsp:txXfrm rot="10800000">
        <a:off x="1345918" y="206"/>
        <a:ext cx="4262276" cy="483751"/>
      </dsp:txXfrm>
    </dsp:sp>
    <dsp:sp modelId="{C2B11E57-2AD4-4F77-B538-E2F02525BE18}">
      <dsp:nvSpPr>
        <dsp:cNvPr id="0" name=""/>
        <dsp:cNvSpPr/>
      </dsp:nvSpPr>
      <dsp:spPr>
        <a:xfrm>
          <a:off x="983104" y="206"/>
          <a:ext cx="483751" cy="4837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1A69B9A-ECCE-43BB-9638-C1BA767924FF}">
      <dsp:nvSpPr>
        <dsp:cNvPr id="0" name=""/>
        <dsp:cNvSpPr/>
      </dsp:nvSpPr>
      <dsp:spPr>
        <a:xfrm rot="10800000">
          <a:off x="1204116" y="604896"/>
          <a:ext cx="4383214" cy="483751"/>
        </a:xfrm>
        <a:prstGeom prst="homePlat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rgbClr val="FBAA12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3321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Calibri"/>
              <a:ea typeface="+mn-ea"/>
              <a:cs typeface="+mn-cs"/>
            </a:rPr>
            <a:t>The </a:t>
          </a:r>
          <a:r>
            <a:rPr lang="en-US" sz="1200" b="1" kern="1200" dirty="0">
              <a:latin typeface="Calibri"/>
              <a:ea typeface="+mn-ea"/>
              <a:cs typeface="+mn-cs"/>
            </a:rPr>
            <a:t>caregiver is notified</a:t>
          </a:r>
          <a:r>
            <a:rPr lang="en-US" sz="1200" kern="1200" dirty="0">
              <a:latin typeface="Calibri"/>
              <a:ea typeface="+mn-ea"/>
              <a:cs typeface="+mn-cs"/>
            </a:rPr>
            <a:t> when the patient is to be discharged to another facility or back home; and</a:t>
          </a:r>
        </a:p>
      </dsp:txBody>
      <dsp:txXfrm rot="10800000">
        <a:off x="1325054" y="604896"/>
        <a:ext cx="4262276" cy="483751"/>
      </dsp:txXfrm>
    </dsp:sp>
    <dsp:sp modelId="{7055DE9B-5121-4CD0-9553-32F9A6E3EC43}">
      <dsp:nvSpPr>
        <dsp:cNvPr id="0" name=""/>
        <dsp:cNvSpPr/>
      </dsp:nvSpPr>
      <dsp:spPr>
        <a:xfrm>
          <a:off x="983104" y="604896"/>
          <a:ext cx="483751" cy="483751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9525" cap="flat" cmpd="sng" algn="ctr">
          <a:solidFill>
            <a:srgbClr val="FBAA1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09C3C03-8528-4460-81FB-59F84C9CBA7D}">
      <dsp:nvSpPr>
        <dsp:cNvPr id="0" name=""/>
        <dsp:cNvSpPr/>
      </dsp:nvSpPr>
      <dsp:spPr>
        <a:xfrm rot="10800000">
          <a:off x="1224980" y="1209586"/>
          <a:ext cx="4383214" cy="483751"/>
        </a:xfrm>
        <a:prstGeom prst="homePlat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rgbClr val="00758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3321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Calibri"/>
              <a:ea typeface="+mn-ea"/>
              <a:cs typeface="+mn-cs"/>
            </a:rPr>
            <a:t>The hospital </a:t>
          </a:r>
          <a:r>
            <a:rPr lang="en-US" sz="1200" b="1" kern="1200" dirty="0">
              <a:latin typeface="Calibri"/>
              <a:ea typeface="+mn-ea"/>
              <a:cs typeface="+mn-cs"/>
            </a:rPr>
            <a:t>provides an explanation and demonstration</a:t>
          </a:r>
          <a:r>
            <a:rPr lang="en-US" sz="1200" kern="1200" dirty="0">
              <a:latin typeface="Calibri"/>
              <a:ea typeface="+mn-ea"/>
              <a:cs typeface="+mn-cs"/>
            </a:rPr>
            <a:t> </a:t>
          </a:r>
          <a:r>
            <a:rPr lang="en-US" sz="1200" kern="1200" dirty="0"/>
            <a:t>of the basic medical tasks that the patient should follow at home.</a:t>
          </a:r>
          <a:endParaRPr lang="en-US" sz="1200" kern="1200" dirty="0">
            <a:latin typeface="Calibri"/>
            <a:ea typeface="+mn-ea"/>
            <a:cs typeface="+mn-cs"/>
          </a:endParaRPr>
        </a:p>
      </dsp:txBody>
      <dsp:txXfrm rot="10800000">
        <a:off x="1345918" y="1209586"/>
        <a:ext cx="4262276" cy="483751"/>
      </dsp:txXfrm>
    </dsp:sp>
    <dsp:sp modelId="{36292291-6F86-4640-9371-415B4B13ED7E}">
      <dsp:nvSpPr>
        <dsp:cNvPr id="0" name=""/>
        <dsp:cNvSpPr/>
      </dsp:nvSpPr>
      <dsp:spPr>
        <a:xfrm>
          <a:off x="983104" y="1209586"/>
          <a:ext cx="483751" cy="483751"/>
        </a:xfrm>
        <a:prstGeom prst="ellipse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9525" cap="flat" cmpd="sng" algn="ctr">
          <a:solidFill>
            <a:srgbClr val="00758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Peters</dc:creator>
  <cp:lastModifiedBy>Forman, Ellen W.</cp:lastModifiedBy>
  <cp:revision>1</cp:revision>
  <dcterms:created xsi:type="dcterms:W3CDTF">2017-08-31T17:13:00Z</dcterms:created>
  <dcterms:modified xsi:type="dcterms:W3CDTF">2017-08-31T17:13:00Z</dcterms:modified>
</cp:coreProperties>
</file>